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color w:val="666666"/>
        </w:rPr>
      </w:pPr>
      <w:bookmarkStart w:colFirst="0" w:colLast="0" w:name="_uwfkpiutvjt1" w:id="0"/>
      <w:bookmarkEnd w:id="0"/>
      <w:r w:rsidDel="00000000" w:rsidR="00000000" w:rsidRPr="00000000">
        <w:rPr>
          <w:color w:val="666666"/>
          <w:rtl w:val="0"/>
        </w:rPr>
        <w:t xml:space="preserve">Инструкция по загрузке ПО MasterSCADA 4D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Перейдите по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ссылке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 появлении окна с просьбой ввести имя и e-mail адрес - заполните и нажмите “Скачать”:</w:t>
      </w:r>
    </w:p>
    <w:p w:rsidR="00000000" w:rsidDel="00000000" w:rsidP="00000000" w:rsidRDefault="00000000" w:rsidRPr="00000000" w14:paraId="00000005">
      <w:pPr>
        <w:ind w:left="7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763939" cy="478164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5149" r="5481" t="5679"/>
                    <a:stretch>
                      <a:fillRect/>
                    </a:stretch>
                  </pic:blipFill>
                  <pic:spPr>
                    <a:xfrm>
                      <a:off x="0" y="0"/>
                      <a:ext cx="4763939" cy="47816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 открывшейся странице нажать ссылку “для первичной установки х86” или “для первичной установки х64” в зависимости от разрядности вашей системы.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731200" cy="24511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5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asterscada.ru/download4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